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E6E7" w14:textId="77777777" w:rsidR="00495A99" w:rsidRDefault="00495A99" w:rsidP="00727A2F">
      <w:pPr>
        <w:pStyle w:val="ortabalkbold"/>
        <w:spacing w:before="56" w:beforeAutospacing="0" w:after="0" w:afterAutospacing="0" w:line="276" w:lineRule="auto"/>
        <w:jc w:val="center"/>
        <w:rPr>
          <w:rFonts w:ascii="Cambria" w:hAnsi="Cambria"/>
          <w:b/>
        </w:rPr>
      </w:pPr>
    </w:p>
    <w:p w14:paraId="7E0C10AB" w14:textId="77777777" w:rsidR="004F4182" w:rsidRDefault="00883288" w:rsidP="00727A2F">
      <w:pPr>
        <w:pStyle w:val="ortabalkbold"/>
        <w:spacing w:before="56" w:beforeAutospacing="0" w:after="0" w:afterAutospacing="0" w:line="276" w:lineRule="auto"/>
        <w:jc w:val="center"/>
        <w:rPr>
          <w:rFonts w:ascii="Cambria" w:hAnsi="Cambria"/>
          <w:b/>
        </w:rPr>
      </w:pPr>
      <w:r w:rsidRPr="00495A99">
        <w:rPr>
          <w:rFonts w:ascii="Cambria" w:hAnsi="Cambria"/>
          <w:b/>
        </w:rPr>
        <w:t xml:space="preserve">Dağıtım Şebekesi Üzerinden Sisteme Bağlanabilecek Üretim Tesislerine İlişkin </w:t>
      </w:r>
    </w:p>
    <w:p w14:paraId="3ECBCA26" w14:textId="49773A80" w:rsidR="003622F7" w:rsidRPr="00495A99" w:rsidRDefault="00883288" w:rsidP="00727A2F">
      <w:pPr>
        <w:pStyle w:val="ortabalkbold"/>
        <w:spacing w:before="56" w:beforeAutospacing="0" w:after="0" w:afterAutospacing="0" w:line="276" w:lineRule="auto"/>
        <w:jc w:val="center"/>
        <w:rPr>
          <w:rFonts w:ascii="Cambria" w:hAnsi="Cambria"/>
          <w:b/>
          <w:i/>
          <w:iCs/>
        </w:rPr>
      </w:pPr>
      <w:r w:rsidRPr="00495A99">
        <w:rPr>
          <w:rFonts w:ascii="Cambria" w:hAnsi="Cambria"/>
          <w:b/>
        </w:rPr>
        <w:t xml:space="preserve">50 </w:t>
      </w:r>
      <w:proofErr w:type="spellStart"/>
      <w:r w:rsidRPr="00495A99">
        <w:rPr>
          <w:rFonts w:ascii="Cambria" w:hAnsi="Cambria"/>
          <w:b/>
        </w:rPr>
        <w:t>MW’lık</w:t>
      </w:r>
      <w:proofErr w:type="spellEnd"/>
      <w:r w:rsidRPr="00495A99">
        <w:rPr>
          <w:rFonts w:ascii="Cambria" w:hAnsi="Cambria"/>
          <w:b/>
        </w:rPr>
        <w:t xml:space="preserve"> Sınırlama Kalktı </w:t>
      </w:r>
    </w:p>
    <w:p w14:paraId="6240A376" w14:textId="77777777" w:rsidR="003E46E2" w:rsidRPr="00495A99" w:rsidRDefault="003E46E2" w:rsidP="00727A2F">
      <w:pPr>
        <w:pStyle w:val="Default"/>
        <w:spacing w:line="276" w:lineRule="auto"/>
        <w:jc w:val="both"/>
        <w:rPr>
          <w:rFonts w:ascii="Cambria" w:hAnsi="Cambria" w:cs="Times New Roman"/>
          <w:color w:val="auto"/>
          <w:sz w:val="22"/>
          <w:szCs w:val="22"/>
          <w:shd w:val="clear" w:color="auto" w:fill="FFFFFF"/>
        </w:rPr>
      </w:pPr>
    </w:p>
    <w:p w14:paraId="78E015F7" w14:textId="2FE87DF6" w:rsidR="003622F7" w:rsidRPr="00495A99" w:rsidRDefault="00883288" w:rsidP="00883288">
      <w:pPr>
        <w:pStyle w:val="NormalWeb"/>
        <w:spacing w:before="150" w:beforeAutospacing="0" w:after="150" w:afterAutospacing="0" w:line="276" w:lineRule="auto"/>
        <w:jc w:val="both"/>
        <w:textAlignment w:val="baseline"/>
        <w:rPr>
          <w:rFonts w:ascii="Cambria" w:eastAsiaTheme="minorHAnsi" w:hAnsi="Cambria"/>
          <w:lang w:eastAsia="en-US"/>
        </w:rPr>
      </w:pPr>
      <w:r w:rsidRPr="00495A99">
        <w:rPr>
          <w:rFonts w:ascii="Cambria" w:eastAsiaTheme="minorHAnsi" w:hAnsi="Cambria"/>
          <w:lang w:eastAsia="en-US"/>
        </w:rPr>
        <w:t xml:space="preserve">Enerji Piyasası Düzenleme Kurumu’nun </w:t>
      </w:r>
      <w:r w:rsidRPr="004F4182">
        <w:rPr>
          <w:rFonts w:ascii="Cambria" w:eastAsiaTheme="minorHAnsi" w:hAnsi="Cambria"/>
          <w:lang w:eastAsia="en-US"/>
        </w:rPr>
        <w:t>(“</w:t>
      </w:r>
      <w:r w:rsidRPr="004F4182">
        <w:rPr>
          <w:rFonts w:ascii="Cambria" w:eastAsiaTheme="minorHAnsi" w:hAnsi="Cambria"/>
          <w:b/>
          <w:bCs/>
          <w:lang w:eastAsia="en-US"/>
        </w:rPr>
        <w:t>EPDK</w:t>
      </w:r>
      <w:r w:rsidRPr="004F4182">
        <w:rPr>
          <w:rFonts w:ascii="Cambria" w:eastAsiaTheme="minorHAnsi" w:hAnsi="Cambria"/>
          <w:lang w:eastAsia="en-US"/>
        </w:rPr>
        <w:t>”)</w:t>
      </w:r>
      <w:r w:rsidRPr="00495A99">
        <w:rPr>
          <w:rFonts w:ascii="Cambria" w:eastAsiaTheme="minorHAnsi" w:hAnsi="Cambria"/>
          <w:lang w:eastAsia="en-US"/>
        </w:rPr>
        <w:t xml:space="preserve"> </w:t>
      </w:r>
      <w:r w:rsidR="000B24AD" w:rsidRPr="00495A99">
        <w:rPr>
          <w:rFonts w:ascii="Cambria" w:eastAsiaTheme="minorHAnsi" w:hAnsi="Cambria"/>
          <w:lang w:eastAsia="en-US"/>
        </w:rPr>
        <w:t>28/05/2014 tarihli ve 29013 mükerrer sayılı Resmî Gazete</w:t>
      </w:r>
      <w:r w:rsidRPr="00495A99">
        <w:rPr>
          <w:rFonts w:ascii="Cambria" w:eastAsiaTheme="minorHAnsi" w:hAnsi="Cambria"/>
          <w:lang w:eastAsia="en-US"/>
        </w:rPr>
        <w:t>’</w:t>
      </w:r>
      <w:r w:rsidR="000B24AD" w:rsidRPr="00495A99">
        <w:rPr>
          <w:rFonts w:ascii="Cambria" w:eastAsiaTheme="minorHAnsi" w:hAnsi="Cambria"/>
          <w:lang w:eastAsia="en-US"/>
        </w:rPr>
        <w:t>de yayımlanan Elektrik Şebeke Yönetmeliğinin</w:t>
      </w:r>
      <w:r w:rsidR="00175AA8" w:rsidRPr="00495A99">
        <w:rPr>
          <w:rFonts w:ascii="Cambria" w:eastAsiaTheme="minorHAnsi" w:hAnsi="Cambria"/>
          <w:lang w:eastAsia="en-US"/>
        </w:rPr>
        <w:t xml:space="preserve"> TEİAŞ’ın bir dağıtım barasına veya bu baraya bağlı dağıtım sistemine bağlanacak üretim tesisinin/tesislerinin toplam kurulu gücüne ilişkin düzenlemeler içeren </w:t>
      </w:r>
      <w:r w:rsidR="009D1667" w:rsidRPr="00495A99">
        <w:rPr>
          <w:rFonts w:ascii="Cambria" w:eastAsiaTheme="minorHAnsi" w:hAnsi="Cambria"/>
          <w:lang w:eastAsia="en-US"/>
        </w:rPr>
        <w:t>33’üncü</w:t>
      </w:r>
      <w:r w:rsidR="000E3E8C" w:rsidRPr="00495A99">
        <w:rPr>
          <w:rFonts w:ascii="Cambria" w:eastAsiaTheme="minorHAnsi" w:hAnsi="Cambria"/>
          <w:lang w:eastAsia="en-US"/>
        </w:rPr>
        <w:t xml:space="preserve"> </w:t>
      </w:r>
      <w:r w:rsidR="00175AA8" w:rsidRPr="00495A99">
        <w:rPr>
          <w:rFonts w:ascii="Cambria" w:eastAsiaTheme="minorHAnsi" w:hAnsi="Cambria"/>
          <w:lang w:eastAsia="en-US"/>
        </w:rPr>
        <w:t>m</w:t>
      </w:r>
      <w:r w:rsidR="000B24AD" w:rsidRPr="00495A99">
        <w:rPr>
          <w:rFonts w:ascii="Cambria" w:eastAsiaTheme="minorHAnsi" w:hAnsi="Cambria"/>
          <w:lang w:eastAsia="en-US"/>
        </w:rPr>
        <w:t>addesi</w:t>
      </w:r>
      <w:r w:rsidR="00175AA8" w:rsidRPr="00495A99">
        <w:rPr>
          <w:rFonts w:ascii="Cambria" w:eastAsiaTheme="minorHAnsi" w:hAnsi="Cambria"/>
          <w:lang w:eastAsia="en-US"/>
        </w:rPr>
        <w:t xml:space="preserve">nin </w:t>
      </w:r>
      <w:r w:rsidR="000E3E8C" w:rsidRPr="00495A99">
        <w:rPr>
          <w:rFonts w:ascii="Cambria" w:eastAsiaTheme="minorHAnsi" w:hAnsi="Cambria"/>
          <w:lang w:eastAsia="en-US"/>
        </w:rPr>
        <w:t>ikinci</w:t>
      </w:r>
      <w:r w:rsidR="00175AA8" w:rsidRPr="00495A99">
        <w:rPr>
          <w:rFonts w:ascii="Cambria" w:eastAsiaTheme="minorHAnsi" w:hAnsi="Cambria"/>
          <w:lang w:eastAsia="en-US"/>
        </w:rPr>
        <w:t xml:space="preserve"> fıkrası</w:t>
      </w:r>
      <w:r w:rsidR="000B24AD" w:rsidRPr="00495A99">
        <w:rPr>
          <w:rFonts w:ascii="Cambria" w:eastAsiaTheme="minorHAnsi" w:hAnsi="Cambria"/>
          <w:lang w:eastAsia="en-US"/>
        </w:rPr>
        <w:t xml:space="preserve"> 01</w:t>
      </w:r>
      <w:r w:rsidR="000E3E8C" w:rsidRPr="00495A99">
        <w:rPr>
          <w:rFonts w:ascii="Cambria" w:eastAsiaTheme="minorHAnsi" w:hAnsi="Cambria"/>
          <w:lang w:eastAsia="en-US"/>
        </w:rPr>
        <w:t>/</w:t>
      </w:r>
      <w:r w:rsidR="000B24AD" w:rsidRPr="00495A99">
        <w:rPr>
          <w:rFonts w:ascii="Cambria" w:eastAsiaTheme="minorHAnsi" w:hAnsi="Cambria"/>
          <w:lang w:eastAsia="en-US"/>
        </w:rPr>
        <w:t>03</w:t>
      </w:r>
      <w:r w:rsidR="000E3E8C" w:rsidRPr="00495A99">
        <w:rPr>
          <w:rFonts w:ascii="Cambria" w:eastAsiaTheme="minorHAnsi" w:hAnsi="Cambria"/>
          <w:lang w:eastAsia="en-US"/>
        </w:rPr>
        <w:t>/</w:t>
      </w:r>
      <w:r w:rsidR="000B24AD" w:rsidRPr="00495A99">
        <w:rPr>
          <w:rFonts w:ascii="Cambria" w:eastAsiaTheme="minorHAnsi" w:hAnsi="Cambria"/>
          <w:lang w:eastAsia="en-US"/>
        </w:rPr>
        <w:t>2020 tarih</w:t>
      </w:r>
      <w:r w:rsidR="000E3E8C" w:rsidRPr="00495A99">
        <w:rPr>
          <w:rFonts w:ascii="Cambria" w:eastAsiaTheme="minorHAnsi" w:hAnsi="Cambria"/>
          <w:lang w:eastAsia="en-US"/>
        </w:rPr>
        <w:t xml:space="preserve">li ve </w:t>
      </w:r>
      <w:r w:rsidR="000B24AD" w:rsidRPr="00495A99">
        <w:rPr>
          <w:rFonts w:ascii="Cambria" w:eastAsiaTheme="minorHAnsi" w:hAnsi="Cambria"/>
          <w:lang w:eastAsia="en-US"/>
        </w:rPr>
        <w:t xml:space="preserve">31055 sayılı Resmî </w:t>
      </w:r>
      <w:r w:rsidR="009D1667" w:rsidRPr="00495A99">
        <w:rPr>
          <w:rFonts w:ascii="Cambria" w:eastAsiaTheme="minorHAnsi" w:hAnsi="Cambria"/>
          <w:lang w:eastAsia="en-US"/>
        </w:rPr>
        <w:t>Gazete’de</w:t>
      </w:r>
      <w:r w:rsidR="000B24AD" w:rsidRPr="00495A99">
        <w:rPr>
          <w:rFonts w:ascii="Cambria" w:eastAsiaTheme="minorHAnsi" w:hAnsi="Cambria"/>
          <w:lang w:eastAsia="en-US"/>
        </w:rPr>
        <w:t xml:space="preserve"> yayımlanan yönetmelik ile değiştirilmiştir.</w:t>
      </w:r>
    </w:p>
    <w:p w14:paraId="50999B9A" w14:textId="3285EB8A" w:rsidR="000E3E8C" w:rsidRPr="00495A99" w:rsidRDefault="000E3E8C" w:rsidP="000E3E8C">
      <w:pPr>
        <w:pStyle w:val="NormalWeb"/>
        <w:tabs>
          <w:tab w:val="left" w:pos="284"/>
        </w:tabs>
        <w:spacing w:before="150" w:beforeAutospacing="0" w:after="150" w:afterAutospacing="0" w:line="276" w:lineRule="auto"/>
        <w:jc w:val="both"/>
        <w:textAlignment w:val="baseline"/>
        <w:rPr>
          <w:rFonts w:ascii="Cambria" w:eastAsiaTheme="minorHAnsi" w:hAnsi="Cambria"/>
          <w:lang w:eastAsia="en-US"/>
        </w:rPr>
      </w:pPr>
      <w:r w:rsidRPr="00495A99">
        <w:rPr>
          <w:rFonts w:ascii="Cambria" w:eastAsiaTheme="minorHAnsi" w:hAnsi="Cambria"/>
          <w:lang w:eastAsia="en-US"/>
        </w:rPr>
        <w:t xml:space="preserve">Elektrik Şebeke Yönetmeliğinin </w:t>
      </w:r>
      <w:r w:rsidR="009D1667" w:rsidRPr="00495A99">
        <w:rPr>
          <w:rFonts w:ascii="Cambria" w:eastAsiaTheme="minorHAnsi" w:hAnsi="Cambria"/>
          <w:lang w:eastAsia="en-US"/>
        </w:rPr>
        <w:t>33’üncü</w:t>
      </w:r>
      <w:r w:rsidRPr="00495A99">
        <w:rPr>
          <w:rFonts w:ascii="Cambria" w:eastAsiaTheme="minorHAnsi" w:hAnsi="Cambria"/>
          <w:lang w:eastAsia="en-US"/>
        </w:rPr>
        <w:t xml:space="preserve"> maddesinin;</w:t>
      </w:r>
    </w:p>
    <w:p w14:paraId="1FA6B142" w14:textId="61A395FB" w:rsidR="000E3E8C" w:rsidRPr="00495A99" w:rsidRDefault="00175AA8" w:rsidP="009D1667">
      <w:pPr>
        <w:pStyle w:val="NormalWeb"/>
        <w:tabs>
          <w:tab w:val="left" w:pos="284"/>
        </w:tabs>
        <w:spacing w:before="150" w:beforeAutospacing="0" w:after="150" w:afterAutospacing="0" w:line="276" w:lineRule="auto"/>
        <w:jc w:val="both"/>
        <w:textAlignment w:val="baseline"/>
        <w:rPr>
          <w:rFonts w:ascii="Cambria" w:eastAsiaTheme="minorHAnsi" w:hAnsi="Cambria"/>
          <w:i/>
          <w:iCs/>
          <w:lang w:eastAsia="en-US"/>
        </w:rPr>
      </w:pPr>
      <w:r w:rsidRPr="00495A99">
        <w:rPr>
          <w:rFonts w:ascii="Cambria" w:eastAsiaTheme="minorHAnsi" w:hAnsi="Cambria"/>
          <w:i/>
          <w:iCs/>
          <w:lang w:eastAsia="en-US"/>
        </w:rPr>
        <w:t>“</w:t>
      </w:r>
      <w:r w:rsidR="00883288" w:rsidRPr="00495A99">
        <w:rPr>
          <w:rFonts w:ascii="Cambria" w:eastAsiaTheme="minorHAnsi" w:hAnsi="Cambria"/>
          <w:i/>
          <w:iCs/>
          <w:lang w:eastAsia="en-US"/>
        </w:rPr>
        <w:t>T</w:t>
      </w:r>
      <w:r w:rsidRPr="00495A99">
        <w:rPr>
          <w:rFonts w:ascii="Cambria" w:eastAsiaTheme="minorHAnsi" w:hAnsi="Cambria"/>
          <w:i/>
          <w:iCs/>
          <w:lang w:eastAsia="en-US"/>
        </w:rPr>
        <w:t>EİAŞ’ın bir dağıtım barasına veya bu baraya bağlı dağıtım sistemine bağlanacak üretim tesisinin/tesislerinin toplam kurulu gücü 50 MW’ı geçemez. Bu gücün 50 MW ve üzeri olması durumunda bağlantı iletim seviyesinden yapılır. Ancak, orta gerilimden sadece üretim tesisinin bağlı olduğu 400/33 kV merkezlerde bir dağıtım barasına bağlanacak üretim tesislerinin toplam kurulu gücü, ilgili baranın kısa devr</w:t>
      </w:r>
      <w:r w:rsidR="000E3E8C" w:rsidRPr="00495A99">
        <w:rPr>
          <w:rFonts w:ascii="Cambria" w:eastAsiaTheme="minorHAnsi" w:hAnsi="Cambria"/>
          <w:i/>
          <w:iCs/>
          <w:lang w:eastAsia="en-US"/>
        </w:rPr>
        <w:t>e</w:t>
      </w:r>
      <w:r w:rsidRPr="00495A99">
        <w:rPr>
          <w:rFonts w:ascii="Cambria" w:eastAsiaTheme="minorHAnsi" w:hAnsi="Cambria"/>
          <w:i/>
          <w:iCs/>
          <w:lang w:eastAsia="en-US"/>
        </w:rPr>
        <w:t xml:space="preserve"> arıza akım sınırını aşmaması kaydıyla, 50 MW’ı geçebilir.”</w:t>
      </w:r>
      <w:r w:rsidR="000E3E8C" w:rsidRPr="00495A99">
        <w:rPr>
          <w:rFonts w:ascii="Cambria" w:eastAsiaTheme="minorHAnsi" w:hAnsi="Cambria"/>
          <w:i/>
          <w:iCs/>
          <w:lang w:eastAsia="en-US"/>
        </w:rPr>
        <w:t xml:space="preserve"> </w:t>
      </w:r>
    </w:p>
    <w:p w14:paraId="641B267B" w14:textId="710A3F95" w:rsidR="00175AA8" w:rsidRPr="00495A99" w:rsidRDefault="00A34022" w:rsidP="009D1667">
      <w:pPr>
        <w:pStyle w:val="NormalWeb"/>
        <w:spacing w:before="150" w:beforeAutospacing="0" w:after="150" w:afterAutospacing="0" w:line="276" w:lineRule="auto"/>
        <w:jc w:val="both"/>
        <w:textAlignment w:val="baseline"/>
        <w:rPr>
          <w:rFonts w:ascii="Cambria" w:eastAsiaTheme="minorHAnsi" w:hAnsi="Cambria"/>
          <w:lang w:eastAsia="en-US"/>
        </w:rPr>
      </w:pPr>
      <w:r w:rsidRPr="00495A99">
        <w:rPr>
          <w:rFonts w:ascii="Cambria" w:eastAsiaTheme="minorHAnsi" w:hAnsi="Cambria"/>
          <w:lang w:eastAsia="en-US"/>
        </w:rPr>
        <w:t>ş</w:t>
      </w:r>
      <w:r w:rsidR="000E3E8C" w:rsidRPr="00495A99">
        <w:rPr>
          <w:rFonts w:ascii="Cambria" w:hAnsi="Cambria"/>
        </w:rPr>
        <w:t xml:space="preserve">eklindeki </w:t>
      </w:r>
      <w:r w:rsidR="000E3E8C" w:rsidRPr="00495A99">
        <w:rPr>
          <w:rFonts w:ascii="Cambria" w:eastAsiaTheme="minorHAnsi" w:hAnsi="Cambria"/>
          <w:lang w:eastAsia="en-US"/>
        </w:rPr>
        <w:t xml:space="preserve">ikinci </w:t>
      </w:r>
      <w:r w:rsidR="00175AA8" w:rsidRPr="00495A99">
        <w:rPr>
          <w:rFonts w:ascii="Cambria" w:eastAsiaTheme="minorHAnsi" w:hAnsi="Cambria"/>
          <w:lang w:eastAsia="en-US"/>
        </w:rPr>
        <w:t>fıkrası 01</w:t>
      </w:r>
      <w:r w:rsidR="000E3E8C" w:rsidRPr="00495A99">
        <w:rPr>
          <w:rFonts w:ascii="Cambria" w:eastAsiaTheme="minorHAnsi" w:hAnsi="Cambria"/>
          <w:lang w:eastAsia="en-US"/>
        </w:rPr>
        <w:t>/</w:t>
      </w:r>
      <w:r w:rsidR="00175AA8" w:rsidRPr="00495A99">
        <w:rPr>
          <w:rFonts w:ascii="Cambria" w:eastAsiaTheme="minorHAnsi" w:hAnsi="Cambria"/>
          <w:lang w:eastAsia="en-US"/>
        </w:rPr>
        <w:t>03</w:t>
      </w:r>
      <w:r w:rsidR="000E3E8C" w:rsidRPr="00495A99">
        <w:rPr>
          <w:rFonts w:ascii="Cambria" w:eastAsiaTheme="minorHAnsi" w:hAnsi="Cambria"/>
          <w:lang w:eastAsia="en-US"/>
        </w:rPr>
        <w:t>/</w:t>
      </w:r>
      <w:r w:rsidR="00175AA8" w:rsidRPr="00495A99">
        <w:rPr>
          <w:rFonts w:ascii="Cambria" w:eastAsiaTheme="minorHAnsi" w:hAnsi="Cambria"/>
          <w:lang w:eastAsia="en-US"/>
        </w:rPr>
        <w:t xml:space="preserve">2020 tarihli </w:t>
      </w:r>
      <w:r w:rsidR="000E3E8C" w:rsidRPr="00495A99">
        <w:rPr>
          <w:rFonts w:ascii="Cambria" w:eastAsiaTheme="minorHAnsi" w:hAnsi="Cambria"/>
          <w:lang w:eastAsia="en-US"/>
        </w:rPr>
        <w:t xml:space="preserve">değişiklik sonrasında; </w:t>
      </w:r>
    </w:p>
    <w:p w14:paraId="2C0DBE3A" w14:textId="6B8D7E99" w:rsidR="00175AA8" w:rsidRPr="00495A99" w:rsidRDefault="00175AA8" w:rsidP="009D1667">
      <w:pPr>
        <w:pStyle w:val="NormalWeb"/>
        <w:spacing w:before="150" w:beforeAutospacing="0" w:after="150" w:afterAutospacing="0" w:line="276" w:lineRule="auto"/>
        <w:jc w:val="both"/>
        <w:textAlignment w:val="baseline"/>
        <w:rPr>
          <w:rFonts w:ascii="Cambria" w:eastAsiaTheme="minorHAnsi" w:hAnsi="Cambria"/>
          <w:i/>
          <w:iCs/>
          <w:lang w:eastAsia="en-US"/>
        </w:rPr>
      </w:pPr>
      <w:r w:rsidRPr="00495A99">
        <w:rPr>
          <w:rFonts w:ascii="Cambria" w:eastAsiaTheme="minorHAnsi" w:hAnsi="Cambria"/>
          <w:i/>
          <w:iCs/>
          <w:lang w:eastAsia="en-US"/>
        </w:rPr>
        <w:t>“TEİAŞ’ın bir dağıtım barasına veya bu baraya bağlı dağıtım sistemine bağlanacak üretim tesisinin ya da tesislerinin toplam kurulu gücü azami, ilgili baranın kısa devre arıza akım sınırının aşılmaması kaydıyla mezkûr baradaki transformatörün cebri soğutmasız nominal görünür gücüne kadar olabilir. Kurulu gücü 50 MW ve üzeri olan üretim tesislerinin bağlantısı iletim seviyesinden yapılır.”</w:t>
      </w:r>
    </w:p>
    <w:p w14:paraId="52BB0884" w14:textId="77777777" w:rsidR="00A34022" w:rsidRPr="00495A99" w:rsidRDefault="000E3E8C" w:rsidP="000E3E8C">
      <w:pPr>
        <w:pStyle w:val="NormalWeb"/>
        <w:spacing w:before="150" w:beforeAutospacing="0" w:after="150" w:afterAutospacing="0" w:line="276" w:lineRule="auto"/>
        <w:jc w:val="both"/>
        <w:textAlignment w:val="baseline"/>
        <w:rPr>
          <w:rFonts w:ascii="Cambria" w:eastAsiaTheme="minorHAnsi" w:hAnsi="Cambria"/>
          <w:lang w:eastAsia="en-US"/>
        </w:rPr>
      </w:pPr>
      <w:r w:rsidRPr="00495A99">
        <w:rPr>
          <w:rFonts w:ascii="Cambria" w:eastAsiaTheme="minorHAnsi" w:hAnsi="Cambria"/>
          <w:lang w:eastAsia="en-US"/>
        </w:rPr>
        <w:t xml:space="preserve">Halini almıştır. </w:t>
      </w:r>
    </w:p>
    <w:p w14:paraId="58389E2D" w14:textId="5AC86503" w:rsidR="001B7C56" w:rsidRDefault="00A34022" w:rsidP="009D1667">
      <w:pPr>
        <w:pStyle w:val="NormalWeb"/>
        <w:spacing w:before="150" w:beforeAutospacing="0" w:after="150" w:afterAutospacing="0" w:line="276" w:lineRule="auto"/>
        <w:jc w:val="both"/>
        <w:textAlignment w:val="baseline"/>
        <w:rPr>
          <w:rFonts w:ascii="Cambria" w:eastAsiaTheme="minorHAnsi" w:hAnsi="Cambria"/>
          <w:lang w:eastAsia="en-US"/>
        </w:rPr>
      </w:pPr>
      <w:r w:rsidRPr="00495A99">
        <w:rPr>
          <w:rFonts w:ascii="Cambria" w:eastAsiaTheme="minorHAnsi" w:hAnsi="Cambria"/>
          <w:lang w:eastAsia="en-US"/>
        </w:rPr>
        <w:t>Böylece, b</w:t>
      </w:r>
      <w:r w:rsidR="000E3E8C" w:rsidRPr="00495A99">
        <w:rPr>
          <w:rFonts w:ascii="Cambria" w:eastAsiaTheme="minorHAnsi" w:hAnsi="Cambria"/>
          <w:lang w:eastAsia="en-US"/>
        </w:rPr>
        <w:t>ir dağıtım barasın</w:t>
      </w:r>
      <w:bookmarkStart w:id="0" w:name="_GoBack"/>
      <w:bookmarkEnd w:id="0"/>
      <w:r w:rsidR="000E3E8C" w:rsidRPr="00495A99">
        <w:rPr>
          <w:rFonts w:ascii="Cambria" w:eastAsiaTheme="minorHAnsi" w:hAnsi="Cambria"/>
          <w:lang w:eastAsia="en-US"/>
        </w:rPr>
        <w:t>a veya bu baraya bağlı dağıtım sistemine bağlanacak üretim tesisinin/tesislerinin toplam kurulu gücünü 50 MW ile sınırla</w:t>
      </w:r>
      <w:r w:rsidR="001B7C56">
        <w:rPr>
          <w:rFonts w:ascii="Cambria" w:eastAsiaTheme="minorHAnsi" w:hAnsi="Cambria"/>
          <w:lang w:eastAsia="en-US"/>
        </w:rPr>
        <w:t>mak yerine</w:t>
      </w:r>
      <w:r w:rsidR="000E3E8C" w:rsidRPr="00495A99">
        <w:rPr>
          <w:rFonts w:ascii="Cambria" w:eastAsiaTheme="minorHAnsi" w:hAnsi="Cambria"/>
          <w:lang w:eastAsia="en-US"/>
        </w:rPr>
        <w:t xml:space="preserve">, </w:t>
      </w:r>
      <w:proofErr w:type="spellStart"/>
      <w:r w:rsidR="000E3E8C" w:rsidRPr="00495A99">
        <w:rPr>
          <w:rFonts w:ascii="Cambria" w:eastAsiaTheme="minorHAnsi" w:hAnsi="Cambria"/>
          <w:lang w:eastAsia="en-US"/>
        </w:rPr>
        <w:t>baraya</w:t>
      </w:r>
      <w:proofErr w:type="spellEnd"/>
      <w:r w:rsidR="000E3E8C" w:rsidRPr="00495A99">
        <w:rPr>
          <w:rFonts w:ascii="Cambria" w:eastAsiaTheme="minorHAnsi" w:hAnsi="Cambria"/>
          <w:lang w:eastAsia="en-US"/>
        </w:rPr>
        <w:t xml:space="preserve"> veya dağıtım sistemine bağlanabilecek azami kurulu gücün, kısa devre arıza akım sınırının aşılmaması kaydıyla, mezkûr baradaki transformatörün cebri soğutmasız nominal görünür gücüne kadar çıkabileceği öngörülmüştür. </w:t>
      </w:r>
    </w:p>
    <w:p w14:paraId="2E3EA733" w14:textId="6E71D013" w:rsidR="000E3E8C" w:rsidRDefault="00D813A6" w:rsidP="009D1667">
      <w:pPr>
        <w:pStyle w:val="NormalWeb"/>
        <w:spacing w:before="150" w:beforeAutospacing="0" w:after="150" w:afterAutospacing="0" w:line="276" w:lineRule="auto"/>
        <w:jc w:val="both"/>
        <w:textAlignment w:val="baseline"/>
        <w:rPr>
          <w:rFonts w:ascii="Cambria" w:eastAsiaTheme="minorHAnsi" w:hAnsi="Cambria"/>
          <w:lang w:eastAsia="en-US"/>
        </w:rPr>
      </w:pPr>
      <w:r>
        <w:rPr>
          <w:rFonts w:ascii="Cambria" w:eastAsiaTheme="minorHAnsi" w:hAnsi="Cambria"/>
          <w:lang w:eastAsia="en-US"/>
        </w:rPr>
        <w:t>Ayrıca aynı fıkrada,</w:t>
      </w:r>
      <w:r w:rsidRPr="001B7C56">
        <w:rPr>
          <w:rFonts w:ascii="Cambria" w:eastAsiaTheme="minorHAnsi" w:hAnsi="Cambria"/>
          <w:lang w:eastAsia="en-US"/>
        </w:rPr>
        <w:t xml:space="preserve"> </w:t>
      </w:r>
      <w:r w:rsidRPr="00612257">
        <w:rPr>
          <w:rFonts w:ascii="Cambria" w:eastAsiaTheme="minorHAnsi" w:hAnsi="Cambria"/>
          <w:lang w:eastAsia="en-US"/>
        </w:rPr>
        <w:t xml:space="preserve">orta gerilimden sadece üretim tesisinin bağlı olduğu 400/33 </w:t>
      </w:r>
      <w:proofErr w:type="spellStart"/>
      <w:r w:rsidRPr="00612257">
        <w:rPr>
          <w:rFonts w:ascii="Cambria" w:eastAsiaTheme="minorHAnsi" w:hAnsi="Cambria"/>
          <w:lang w:eastAsia="en-US"/>
        </w:rPr>
        <w:t>kV</w:t>
      </w:r>
      <w:proofErr w:type="spellEnd"/>
      <w:r w:rsidRPr="00612257">
        <w:rPr>
          <w:rFonts w:ascii="Cambria" w:eastAsiaTheme="minorHAnsi" w:hAnsi="Cambria"/>
          <w:lang w:eastAsia="en-US"/>
        </w:rPr>
        <w:t xml:space="preserve"> merkezlerde bir dağıtım </w:t>
      </w:r>
      <w:proofErr w:type="spellStart"/>
      <w:r w:rsidRPr="00612257">
        <w:rPr>
          <w:rFonts w:ascii="Cambria" w:eastAsiaTheme="minorHAnsi" w:hAnsi="Cambria"/>
          <w:lang w:eastAsia="en-US"/>
        </w:rPr>
        <w:t>barasına</w:t>
      </w:r>
      <w:proofErr w:type="spellEnd"/>
      <w:r w:rsidRPr="00612257">
        <w:rPr>
          <w:rFonts w:ascii="Cambria" w:eastAsiaTheme="minorHAnsi" w:hAnsi="Cambria"/>
          <w:lang w:eastAsia="en-US"/>
        </w:rPr>
        <w:t xml:space="preserve"> bağlanacak üretim tesislerinin toplam kurulu gücünün, ilgili baranın kısa devre arıza akım sınırını aşmaması kaydıyla, 50 </w:t>
      </w:r>
      <w:proofErr w:type="spellStart"/>
      <w:r w:rsidRPr="00612257">
        <w:rPr>
          <w:rFonts w:ascii="Cambria" w:eastAsiaTheme="minorHAnsi" w:hAnsi="Cambria"/>
          <w:lang w:eastAsia="en-US"/>
        </w:rPr>
        <w:t>MW’ı</w:t>
      </w:r>
      <w:proofErr w:type="spellEnd"/>
      <w:r w:rsidRPr="00612257">
        <w:rPr>
          <w:rFonts w:ascii="Cambria" w:eastAsiaTheme="minorHAnsi" w:hAnsi="Cambria"/>
          <w:lang w:eastAsia="en-US"/>
        </w:rPr>
        <w:t xml:space="preserve"> geçebileceğine ilişkin hüküm </w:t>
      </w:r>
      <w:r>
        <w:rPr>
          <w:rFonts w:ascii="Cambria" w:eastAsiaTheme="minorHAnsi" w:hAnsi="Cambria"/>
          <w:lang w:eastAsia="en-US"/>
        </w:rPr>
        <w:t>de</w:t>
      </w:r>
      <w:r w:rsidRPr="00612257">
        <w:rPr>
          <w:rFonts w:ascii="Cambria" w:eastAsiaTheme="minorHAnsi" w:hAnsi="Cambria"/>
          <w:lang w:eastAsia="en-US"/>
        </w:rPr>
        <w:t xml:space="preserve"> kaldırıl</w:t>
      </w:r>
      <w:r>
        <w:rPr>
          <w:rFonts w:ascii="Cambria" w:eastAsiaTheme="minorHAnsi" w:hAnsi="Cambria"/>
          <w:lang w:eastAsia="en-US"/>
        </w:rPr>
        <w:t xml:space="preserve">arak, </w:t>
      </w:r>
      <w:r w:rsidR="000E3E8C" w:rsidRPr="00495A99">
        <w:rPr>
          <w:rFonts w:ascii="Cambria" w:eastAsiaTheme="minorHAnsi" w:hAnsi="Cambria"/>
          <w:lang w:eastAsia="en-US"/>
        </w:rPr>
        <w:t>50 MW ve üzeri kurulu gücü olan üretim tesisleri</w:t>
      </w:r>
      <w:r>
        <w:rPr>
          <w:rFonts w:ascii="Cambria" w:eastAsiaTheme="minorHAnsi" w:hAnsi="Cambria"/>
          <w:lang w:eastAsia="en-US"/>
        </w:rPr>
        <w:t xml:space="preserve">nin </w:t>
      </w:r>
      <w:r w:rsidR="000E3E8C" w:rsidRPr="00495A99">
        <w:rPr>
          <w:rFonts w:ascii="Cambria" w:eastAsiaTheme="minorHAnsi" w:hAnsi="Cambria"/>
          <w:lang w:eastAsia="en-US"/>
        </w:rPr>
        <w:t>doğrudan iletim seviyesinden şebekeye bağlanaca</w:t>
      </w:r>
      <w:r>
        <w:rPr>
          <w:rFonts w:ascii="Cambria" w:eastAsiaTheme="minorHAnsi" w:hAnsi="Cambria"/>
          <w:lang w:eastAsia="en-US"/>
        </w:rPr>
        <w:t xml:space="preserve">ğı öngörülmüştür. </w:t>
      </w:r>
    </w:p>
    <w:p w14:paraId="789C147D" w14:textId="16CAE52A" w:rsidR="003A1C61" w:rsidRDefault="003A1C61" w:rsidP="009D1667">
      <w:pPr>
        <w:pStyle w:val="NormalWeb"/>
        <w:spacing w:before="150" w:beforeAutospacing="0" w:after="150" w:afterAutospacing="0" w:line="276" w:lineRule="auto"/>
        <w:jc w:val="both"/>
        <w:textAlignment w:val="baseline"/>
        <w:rPr>
          <w:rFonts w:ascii="Cambria" w:eastAsiaTheme="minorHAnsi" w:hAnsi="Cambria"/>
          <w:lang w:eastAsia="en-US"/>
        </w:rPr>
      </w:pPr>
    </w:p>
    <w:p w14:paraId="00C64983" w14:textId="29A61C38" w:rsidR="003A1C61" w:rsidRDefault="003A1C61" w:rsidP="009D1667">
      <w:pPr>
        <w:pStyle w:val="NormalWeb"/>
        <w:spacing w:before="150" w:beforeAutospacing="0" w:after="150" w:afterAutospacing="0" w:line="276" w:lineRule="auto"/>
        <w:jc w:val="both"/>
        <w:textAlignment w:val="baseline"/>
        <w:rPr>
          <w:rFonts w:ascii="Cambria" w:eastAsiaTheme="minorHAnsi" w:hAnsi="Cambria"/>
          <w:lang w:eastAsia="en-US"/>
        </w:rPr>
      </w:pPr>
      <w:r>
        <w:rPr>
          <w:rFonts w:ascii="Cambria" w:eastAsiaTheme="minorHAnsi" w:hAnsi="Cambria"/>
          <w:lang w:eastAsia="en-US"/>
        </w:rPr>
        <w:t>Saygılarımızla</w:t>
      </w:r>
    </w:p>
    <w:p w14:paraId="649565D6" w14:textId="5270A63F" w:rsidR="003A1C61" w:rsidRDefault="003A1C61" w:rsidP="009D1667">
      <w:pPr>
        <w:pStyle w:val="NormalWeb"/>
        <w:spacing w:before="150" w:beforeAutospacing="0" w:after="150" w:afterAutospacing="0" w:line="276" w:lineRule="auto"/>
        <w:jc w:val="both"/>
        <w:textAlignment w:val="baseline"/>
        <w:rPr>
          <w:rFonts w:ascii="Cambria" w:eastAsiaTheme="minorHAnsi" w:hAnsi="Cambria"/>
          <w:lang w:eastAsia="en-US"/>
        </w:rPr>
      </w:pPr>
    </w:p>
    <w:p w14:paraId="46A6A11E" w14:textId="1A94A366" w:rsidR="003A1C61" w:rsidRPr="001B7C56" w:rsidRDefault="003A1C61" w:rsidP="009D1667">
      <w:pPr>
        <w:pStyle w:val="NormalWeb"/>
        <w:spacing w:before="150" w:beforeAutospacing="0" w:after="150" w:afterAutospacing="0" w:line="276" w:lineRule="auto"/>
        <w:jc w:val="both"/>
        <w:textAlignment w:val="baseline"/>
        <w:rPr>
          <w:rFonts w:ascii="Cambria" w:eastAsiaTheme="minorHAnsi" w:hAnsi="Cambria"/>
          <w:lang w:eastAsia="en-US"/>
        </w:rPr>
      </w:pPr>
      <w:r>
        <w:rPr>
          <w:rFonts w:ascii="Cambria" w:eastAsiaTheme="minorHAnsi" w:hAnsi="Cambria"/>
          <w:lang w:eastAsia="en-US"/>
        </w:rPr>
        <w:t xml:space="preserve">LBF Partners </w:t>
      </w:r>
    </w:p>
    <w:p w14:paraId="19111E68" w14:textId="77777777" w:rsidR="00175AA8" w:rsidRPr="00AA6A1E" w:rsidRDefault="00175AA8" w:rsidP="00727A2F">
      <w:pPr>
        <w:pStyle w:val="NormalWeb"/>
        <w:spacing w:before="150" w:beforeAutospacing="0" w:after="150" w:afterAutospacing="0" w:line="276" w:lineRule="auto"/>
        <w:ind w:firstLine="153"/>
        <w:jc w:val="both"/>
        <w:textAlignment w:val="baseline"/>
        <w:rPr>
          <w:rFonts w:ascii="Cambria" w:eastAsiaTheme="minorHAnsi" w:hAnsi="Cambria"/>
          <w:lang w:eastAsia="en-US"/>
        </w:rPr>
      </w:pPr>
    </w:p>
    <w:p w14:paraId="5ACFBF46" w14:textId="3D13DD0B" w:rsidR="000B24AD" w:rsidRPr="000B24AD" w:rsidRDefault="000B24AD" w:rsidP="00727A2F">
      <w:pPr>
        <w:pStyle w:val="NormalWeb"/>
        <w:spacing w:before="150" w:beforeAutospacing="0" w:after="150" w:afterAutospacing="0" w:line="276" w:lineRule="auto"/>
        <w:ind w:firstLine="153"/>
        <w:jc w:val="both"/>
        <w:textAlignment w:val="baseline"/>
        <w:rPr>
          <w:rFonts w:eastAsiaTheme="minorHAnsi"/>
          <w:lang w:eastAsia="en-US"/>
        </w:rPr>
      </w:pPr>
      <w:r>
        <w:rPr>
          <w:rFonts w:eastAsiaTheme="minorHAnsi"/>
          <w:lang w:eastAsia="en-US"/>
        </w:rPr>
        <w:t xml:space="preserve">  </w:t>
      </w:r>
    </w:p>
    <w:sectPr w:rsidR="000B24AD" w:rsidRPr="000B24AD" w:rsidSect="00BC4975">
      <w:headerReference w:type="default" r:id="rId8"/>
      <w:footerReference w:type="default" r:id="rId9"/>
      <w:pgSz w:w="12240" w:h="15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C201" w14:textId="77777777" w:rsidR="00A64B3B" w:rsidRDefault="00A64B3B" w:rsidP="00CE4BD6">
      <w:pPr>
        <w:spacing w:after="0" w:line="240" w:lineRule="auto"/>
      </w:pPr>
      <w:r>
        <w:separator/>
      </w:r>
    </w:p>
  </w:endnote>
  <w:endnote w:type="continuationSeparator" w:id="0">
    <w:p w14:paraId="488212C6" w14:textId="77777777" w:rsidR="00A64B3B" w:rsidRDefault="00A64B3B" w:rsidP="00CE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for KPMG">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7C1C" w14:textId="544E9CD0" w:rsidR="00CE4BD6" w:rsidRPr="00CE4BD6" w:rsidRDefault="00CE4BD6">
    <w:pPr>
      <w:pStyle w:val="AltBilgi"/>
      <w:jc w:val="center"/>
      <w:rPr>
        <w:rFonts w:ascii="Times New Roman" w:hAnsi="Times New Roman" w:cs="Times New Roman"/>
        <w:sz w:val="24"/>
      </w:rPr>
    </w:pPr>
  </w:p>
  <w:p w14:paraId="460AF8C4" w14:textId="77777777" w:rsidR="00CE4BD6" w:rsidRDefault="00CE4B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A25D" w14:textId="77777777" w:rsidR="00A64B3B" w:rsidRDefault="00A64B3B" w:rsidP="00CE4BD6">
      <w:pPr>
        <w:spacing w:after="0" w:line="240" w:lineRule="auto"/>
      </w:pPr>
      <w:r>
        <w:separator/>
      </w:r>
    </w:p>
  </w:footnote>
  <w:footnote w:type="continuationSeparator" w:id="0">
    <w:p w14:paraId="5CF475DD" w14:textId="77777777" w:rsidR="00A64B3B" w:rsidRDefault="00A64B3B" w:rsidP="00CE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C594" w14:textId="77777777" w:rsidR="00105D62" w:rsidRDefault="00105D62">
    <w:pPr>
      <w:pStyle w:val="stBilgi"/>
    </w:pPr>
    <w:r w:rsidRPr="006338D1">
      <w:rPr>
        <w:noProof/>
        <w:sz w:val="36"/>
        <w:szCs w:val="36"/>
        <w:lang w:val="tr-TR" w:eastAsia="tr-TR"/>
      </w:rPr>
      <w:drawing>
        <wp:inline distT="0" distB="0" distL="0" distR="0" wp14:anchorId="6E51671A" wp14:editId="43ED4D47">
          <wp:extent cx="969818" cy="546196"/>
          <wp:effectExtent l="0" t="0" r="1905" b="6350"/>
          <wp:docPr id="1" name="Resim 1" descr="C:\Users\ssubasi\AppData\Local\Microsoft\Windows\Temporary Internet Files\Content.Word\LBF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ubasi\AppData\Local\Microsoft\Windows\Temporary Internet Files\Content.Word\LBF_LOGO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7936" cy="550768"/>
                  </a:xfrm>
                  <a:prstGeom prst="rect">
                    <a:avLst/>
                  </a:prstGeom>
                  <a:noFill/>
                  <a:ln>
                    <a:noFill/>
                  </a:ln>
                </pic:spPr>
              </pic:pic>
            </a:graphicData>
          </a:graphic>
        </wp:inline>
      </w:drawing>
    </w:r>
  </w:p>
  <w:p w14:paraId="46659C5A" w14:textId="64D20A63" w:rsidR="00105D62" w:rsidRPr="00105D62" w:rsidRDefault="00DF2C9D">
    <w:pPr>
      <w:pStyle w:val="stBilgi"/>
      <w:rPr>
        <w:sz w:val="20"/>
        <w:szCs w:val="20"/>
        <w:lang w:val="tr-TR"/>
      </w:rPr>
    </w:pPr>
    <w:r>
      <w:rPr>
        <w:sz w:val="20"/>
        <w:szCs w:val="20"/>
        <w:lang w:val="tr-TR"/>
      </w:rPr>
      <w:t>Avukatlık</w:t>
    </w:r>
    <w:r w:rsidR="00105D62" w:rsidRPr="00105D62">
      <w:rPr>
        <w:sz w:val="20"/>
        <w:szCs w:val="20"/>
        <w:lang w:val="tr-TR"/>
      </w:rPr>
      <w:t xml:space="preserve"> ve Danışmanlık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9D7"/>
    <w:multiLevelType w:val="hybridMultilevel"/>
    <w:tmpl w:val="4C20F1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E6F6E"/>
    <w:multiLevelType w:val="hybridMultilevel"/>
    <w:tmpl w:val="3BA0F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C563F2"/>
    <w:multiLevelType w:val="hybridMultilevel"/>
    <w:tmpl w:val="EF6A3EF4"/>
    <w:lvl w:ilvl="0" w:tplc="7F1CD322">
      <w:start w:val="1"/>
      <w:numFmt w:val="upperRoman"/>
      <w:lvlText w:val="%1."/>
      <w:lvlJc w:val="left"/>
      <w:pPr>
        <w:ind w:left="720" w:hanging="720"/>
      </w:pPr>
      <w:rPr>
        <w:rFonts w:hint="default"/>
        <w:b/>
        <w:sz w:val="32"/>
        <w:szCs w:val="3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9105BEE"/>
    <w:multiLevelType w:val="hybridMultilevel"/>
    <w:tmpl w:val="A32C7D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C284A"/>
    <w:multiLevelType w:val="hybridMultilevel"/>
    <w:tmpl w:val="D6AAD2A8"/>
    <w:lvl w:ilvl="0" w:tplc="303CBB28">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7C62C8C"/>
    <w:multiLevelType w:val="hybridMultilevel"/>
    <w:tmpl w:val="F7980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161307"/>
    <w:multiLevelType w:val="hybridMultilevel"/>
    <w:tmpl w:val="0CF0C9B8"/>
    <w:lvl w:ilvl="0" w:tplc="041F0019">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BA40CE"/>
    <w:multiLevelType w:val="hybridMultilevel"/>
    <w:tmpl w:val="D1EE1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25506"/>
    <w:multiLevelType w:val="hybridMultilevel"/>
    <w:tmpl w:val="6E54F7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1084A"/>
    <w:multiLevelType w:val="hybridMultilevel"/>
    <w:tmpl w:val="44F287DE"/>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385A2605"/>
    <w:multiLevelType w:val="hybridMultilevel"/>
    <w:tmpl w:val="07524B7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3986509"/>
    <w:multiLevelType w:val="hybridMultilevel"/>
    <w:tmpl w:val="C2DAB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E7975"/>
    <w:multiLevelType w:val="hybridMultilevel"/>
    <w:tmpl w:val="9104E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B7561"/>
    <w:multiLevelType w:val="hybridMultilevel"/>
    <w:tmpl w:val="B7D87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F1D71"/>
    <w:multiLevelType w:val="hybridMultilevel"/>
    <w:tmpl w:val="35DEDBF2"/>
    <w:lvl w:ilvl="0" w:tplc="5472EB72">
      <w:start w:val="1"/>
      <w:numFmt w:val="lowerRoman"/>
      <w:lvlText w:val="%1."/>
      <w:lvlJc w:val="left"/>
      <w:pPr>
        <w:ind w:left="1636" w:hanging="720"/>
      </w:pPr>
      <w:rPr>
        <w:rFonts w:hint="default"/>
      </w:r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15" w15:restartNumberingAfterBreak="0">
    <w:nsid w:val="61E27051"/>
    <w:multiLevelType w:val="hybridMultilevel"/>
    <w:tmpl w:val="3910A83C"/>
    <w:lvl w:ilvl="0" w:tplc="3524321E">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39E6E45"/>
    <w:multiLevelType w:val="hybridMultilevel"/>
    <w:tmpl w:val="0F9C4B10"/>
    <w:lvl w:ilvl="0" w:tplc="0256E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94AAC"/>
    <w:multiLevelType w:val="hybridMultilevel"/>
    <w:tmpl w:val="712051EA"/>
    <w:lvl w:ilvl="0" w:tplc="A8C404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A12D51"/>
    <w:multiLevelType w:val="multilevel"/>
    <w:tmpl w:val="5D90F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C6367"/>
    <w:multiLevelType w:val="hybridMultilevel"/>
    <w:tmpl w:val="A05A1BD2"/>
    <w:lvl w:ilvl="0" w:tplc="041F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966ADA"/>
    <w:multiLevelType w:val="hybridMultilevel"/>
    <w:tmpl w:val="D2F46ED2"/>
    <w:lvl w:ilvl="0" w:tplc="08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E77F6E"/>
    <w:multiLevelType w:val="hybridMultilevel"/>
    <w:tmpl w:val="886C087C"/>
    <w:lvl w:ilvl="0" w:tplc="5B44D5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B3DC3"/>
    <w:multiLevelType w:val="hybridMultilevel"/>
    <w:tmpl w:val="18002EBC"/>
    <w:lvl w:ilvl="0" w:tplc="6E50686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15"/>
  </w:num>
  <w:num w:numId="6">
    <w:abstractNumId w:val="4"/>
  </w:num>
  <w:num w:numId="7">
    <w:abstractNumId w:val="0"/>
  </w:num>
  <w:num w:numId="8">
    <w:abstractNumId w:val="2"/>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11"/>
  </w:num>
  <w:num w:numId="16">
    <w:abstractNumId w:val="13"/>
  </w:num>
  <w:num w:numId="17">
    <w:abstractNumId w:val="12"/>
  </w:num>
  <w:num w:numId="18">
    <w:abstractNumId w:val="7"/>
  </w:num>
  <w:num w:numId="19">
    <w:abstractNumId w:val="8"/>
  </w:num>
  <w:num w:numId="20">
    <w:abstractNumId w:val="22"/>
  </w:num>
  <w:num w:numId="21">
    <w:abstractNumId w:val="19"/>
  </w:num>
  <w:num w:numId="22">
    <w:abstractNumId w:val="17"/>
  </w:num>
  <w:num w:numId="23">
    <w:abstractNumId w:val="14"/>
  </w:num>
  <w:num w:numId="24">
    <w:abstractNumId w:val="18"/>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9D"/>
    <w:rsid w:val="00001F4F"/>
    <w:rsid w:val="00006D9F"/>
    <w:rsid w:val="00006EBA"/>
    <w:rsid w:val="00006F13"/>
    <w:rsid w:val="00012DD6"/>
    <w:rsid w:val="0002163D"/>
    <w:rsid w:val="00037B1D"/>
    <w:rsid w:val="000518CC"/>
    <w:rsid w:val="000550EC"/>
    <w:rsid w:val="00056E94"/>
    <w:rsid w:val="0008470F"/>
    <w:rsid w:val="000872A3"/>
    <w:rsid w:val="00092CBC"/>
    <w:rsid w:val="00095ADC"/>
    <w:rsid w:val="00097157"/>
    <w:rsid w:val="000B24AD"/>
    <w:rsid w:val="000B506E"/>
    <w:rsid w:val="000B526D"/>
    <w:rsid w:val="000C0569"/>
    <w:rsid w:val="000C7AA7"/>
    <w:rsid w:val="000D7F7B"/>
    <w:rsid w:val="000E3B79"/>
    <w:rsid w:val="000E3E8C"/>
    <w:rsid w:val="000F6189"/>
    <w:rsid w:val="000F78BB"/>
    <w:rsid w:val="00105B6B"/>
    <w:rsid w:val="00105D62"/>
    <w:rsid w:val="00111377"/>
    <w:rsid w:val="00116668"/>
    <w:rsid w:val="001207E3"/>
    <w:rsid w:val="001257F8"/>
    <w:rsid w:val="001258DC"/>
    <w:rsid w:val="00126C75"/>
    <w:rsid w:val="00130F93"/>
    <w:rsid w:val="001358DB"/>
    <w:rsid w:val="00142155"/>
    <w:rsid w:val="0014263B"/>
    <w:rsid w:val="001517BE"/>
    <w:rsid w:val="001525DF"/>
    <w:rsid w:val="0015658E"/>
    <w:rsid w:val="00161DCD"/>
    <w:rsid w:val="00175AA8"/>
    <w:rsid w:val="00177977"/>
    <w:rsid w:val="001819FC"/>
    <w:rsid w:val="00185AB2"/>
    <w:rsid w:val="001909DB"/>
    <w:rsid w:val="001B039D"/>
    <w:rsid w:val="001B3B98"/>
    <w:rsid w:val="001B7C56"/>
    <w:rsid w:val="001E2F63"/>
    <w:rsid w:val="001E433D"/>
    <w:rsid w:val="001F3D03"/>
    <w:rsid w:val="001F4A42"/>
    <w:rsid w:val="001F56B8"/>
    <w:rsid w:val="0021084B"/>
    <w:rsid w:val="00217A73"/>
    <w:rsid w:val="00220A9C"/>
    <w:rsid w:val="00221D11"/>
    <w:rsid w:val="0022416F"/>
    <w:rsid w:val="00240318"/>
    <w:rsid w:val="00245E35"/>
    <w:rsid w:val="00253A8C"/>
    <w:rsid w:val="00256497"/>
    <w:rsid w:val="0026541B"/>
    <w:rsid w:val="00267BDD"/>
    <w:rsid w:val="0027447A"/>
    <w:rsid w:val="0028077A"/>
    <w:rsid w:val="002824FF"/>
    <w:rsid w:val="0029376F"/>
    <w:rsid w:val="00297A57"/>
    <w:rsid w:val="002A5D85"/>
    <w:rsid w:val="002B384B"/>
    <w:rsid w:val="002B3CBE"/>
    <w:rsid w:val="002C183D"/>
    <w:rsid w:val="002C2165"/>
    <w:rsid w:val="002D7FC4"/>
    <w:rsid w:val="0030056B"/>
    <w:rsid w:val="00310973"/>
    <w:rsid w:val="00315CA3"/>
    <w:rsid w:val="00320CFC"/>
    <w:rsid w:val="0032409E"/>
    <w:rsid w:val="00327E98"/>
    <w:rsid w:val="00332A1A"/>
    <w:rsid w:val="0033426E"/>
    <w:rsid w:val="00334A40"/>
    <w:rsid w:val="00354DD5"/>
    <w:rsid w:val="003622F7"/>
    <w:rsid w:val="0038067E"/>
    <w:rsid w:val="0038414F"/>
    <w:rsid w:val="0038472A"/>
    <w:rsid w:val="003865AF"/>
    <w:rsid w:val="00392C9A"/>
    <w:rsid w:val="003A1C61"/>
    <w:rsid w:val="003A3AC2"/>
    <w:rsid w:val="003B14AF"/>
    <w:rsid w:val="003B3AB7"/>
    <w:rsid w:val="003C7BA1"/>
    <w:rsid w:val="003D205A"/>
    <w:rsid w:val="003D70FC"/>
    <w:rsid w:val="003E46E2"/>
    <w:rsid w:val="003E5FA8"/>
    <w:rsid w:val="003E7254"/>
    <w:rsid w:val="003F0434"/>
    <w:rsid w:val="003F42B9"/>
    <w:rsid w:val="003F5560"/>
    <w:rsid w:val="00405AA6"/>
    <w:rsid w:val="0040601A"/>
    <w:rsid w:val="00411272"/>
    <w:rsid w:val="0042657F"/>
    <w:rsid w:val="00433D58"/>
    <w:rsid w:val="00435D1B"/>
    <w:rsid w:val="00464188"/>
    <w:rsid w:val="00464C36"/>
    <w:rsid w:val="00474834"/>
    <w:rsid w:val="00495A99"/>
    <w:rsid w:val="004A5C28"/>
    <w:rsid w:val="004A747A"/>
    <w:rsid w:val="004B1DF9"/>
    <w:rsid w:val="004C267E"/>
    <w:rsid w:val="004C58F2"/>
    <w:rsid w:val="004D59FD"/>
    <w:rsid w:val="004E1682"/>
    <w:rsid w:val="004E3751"/>
    <w:rsid w:val="004F4182"/>
    <w:rsid w:val="004F6F33"/>
    <w:rsid w:val="005056B9"/>
    <w:rsid w:val="005279A9"/>
    <w:rsid w:val="00546FD7"/>
    <w:rsid w:val="00591E14"/>
    <w:rsid w:val="00593066"/>
    <w:rsid w:val="00594FB9"/>
    <w:rsid w:val="005A637E"/>
    <w:rsid w:val="005A6E30"/>
    <w:rsid w:val="005B22C6"/>
    <w:rsid w:val="005B5DD1"/>
    <w:rsid w:val="005C7DA4"/>
    <w:rsid w:val="005D3F48"/>
    <w:rsid w:val="005E0CE1"/>
    <w:rsid w:val="005F265F"/>
    <w:rsid w:val="005F69B2"/>
    <w:rsid w:val="0060206C"/>
    <w:rsid w:val="00603568"/>
    <w:rsid w:val="00616C33"/>
    <w:rsid w:val="006201A8"/>
    <w:rsid w:val="006316BC"/>
    <w:rsid w:val="0063399B"/>
    <w:rsid w:val="00634091"/>
    <w:rsid w:val="00636936"/>
    <w:rsid w:val="006425C2"/>
    <w:rsid w:val="00642C3F"/>
    <w:rsid w:val="00653627"/>
    <w:rsid w:val="006849A8"/>
    <w:rsid w:val="0068734B"/>
    <w:rsid w:val="006947FE"/>
    <w:rsid w:val="0069701A"/>
    <w:rsid w:val="006A001B"/>
    <w:rsid w:val="006B2CD4"/>
    <w:rsid w:val="006C246B"/>
    <w:rsid w:val="006D20B7"/>
    <w:rsid w:val="006D2DEB"/>
    <w:rsid w:val="006F5117"/>
    <w:rsid w:val="00716F68"/>
    <w:rsid w:val="00721355"/>
    <w:rsid w:val="00725B57"/>
    <w:rsid w:val="00726489"/>
    <w:rsid w:val="00727A2F"/>
    <w:rsid w:val="0073054A"/>
    <w:rsid w:val="0073761E"/>
    <w:rsid w:val="00743E94"/>
    <w:rsid w:val="0074447F"/>
    <w:rsid w:val="00752C50"/>
    <w:rsid w:val="007620BE"/>
    <w:rsid w:val="00764B19"/>
    <w:rsid w:val="007736F5"/>
    <w:rsid w:val="0077700E"/>
    <w:rsid w:val="00781CD3"/>
    <w:rsid w:val="007A5FFA"/>
    <w:rsid w:val="007B5E0F"/>
    <w:rsid w:val="007C1756"/>
    <w:rsid w:val="007C50A0"/>
    <w:rsid w:val="007C5C19"/>
    <w:rsid w:val="007D5A54"/>
    <w:rsid w:val="007E0392"/>
    <w:rsid w:val="007F7780"/>
    <w:rsid w:val="0081226A"/>
    <w:rsid w:val="008144CE"/>
    <w:rsid w:val="00820FDC"/>
    <w:rsid w:val="008245B2"/>
    <w:rsid w:val="00826C5D"/>
    <w:rsid w:val="0085056F"/>
    <w:rsid w:val="008547DC"/>
    <w:rsid w:val="00860189"/>
    <w:rsid w:val="00861BAF"/>
    <w:rsid w:val="008651A6"/>
    <w:rsid w:val="00865EE2"/>
    <w:rsid w:val="00883288"/>
    <w:rsid w:val="00896309"/>
    <w:rsid w:val="008B0A38"/>
    <w:rsid w:val="008B73DB"/>
    <w:rsid w:val="008D50C5"/>
    <w:rsid w:val="008D624A"/>
    <w:rsid w:val="008D7014"/>
    <w:rsid w:val="008E2DC0"/>
    <w:rsid w:val="008E2F20"/>
    <w:rsid w:val="008E52F1"/>
    <w:rsid w:val="008E77F3"/>
    <w:rsid w:val="008F4921"/>
    <w:rsid w:val="00902875"/>
    <w:rsid w:val="00913DDA"/>
    <w:rsid w:val="00950732"/>
    <w:rsid w:val="009521C6"/>
    <w:rsid w:val="00955AEB"/>
    <w:rsid w:val="00961FB2"/>
    <w:rsid w:val="00963570"/>
    <w:rsid w:val="0096399F"/>
    <w:rsid w:val="009706B4"/>
    <w:rsid w:val="00973B58"/>
    <w:rsid w:val="00993086"/>
    <w:rsid w:val="009A0ADA"/>
    <w:rsid w:val="009A16D9"/>
    <w:rsid w:val="009A4614"/>
    <w:rsid w:val="009A4B68"/>
    <w:rsid w:val="009A7D99"/>
    <w:rsid w:val="009B670D"/>
    <w:rsid w:val="009C49A7"/>
    <w:rsid w:val="009D1667"/>
    <w:rsid w:val="009D2162"/>
    <w:rsid w:val="009D7845"/>
    <w:rsid w:val="009D79D9"/>
    <w:rsid w:val="009F3227"/>
    <w:rsid w:val="009F3467"/>
    <w:rsid w:val="00A007DD"/>
    <w:rsid w:val="00A024DE"/>
    <w:rsid w:val="00A0551D"/>
    <w:rsid w:val="00A34022"/>
    <w:rsid w:val="00A350EE"/>
    <w:rsid w:val="00A42A61"/>
    <w:rsid w:val="00A472CA"/>
    <w:rsid w:val="00A5685B"/>
    <w:rsid w:val="00A60B06"/>
    <w:rsid w:val="00A64B3B"/>
    <w:rsid w:val="00A67CB8"/>
    <w:rsid w:val="00A7047E"/>
    <w:rsid w:val="00A73475"/>
    <w:rsid w:val="00A76C3B"/>
    <w:rsid w:val="00A8000C"/>
    <w:rsid w:val="00AA6A1E"/>
    <w:rsid w:val="00AB1333"/>
    <w:rsid w:val="00AC5821"/>
    <w:rsid w:val="00AE51F8"/>
    <w:rsid w:val="00AE626A"/>
    <w:rsid w:val="00AF78D2"/>
    <w:rsid w:val="00AF7CD5"/>
    <w:rsid w:val="00B07095"/>
    <w:rsid w:val="00B2630C"/>
    <w:rsid w:val="00B32C07"/>
    <w:rsid w:val="00B451BD"/>
    <w:rsid w:val="00B5146E"/>
    <w:rsid w:val="00B54B14"/>
    <w:rsid w:val="00B572ED"/>
    <w:rsid w:val="00B73019"/>
    <w:rsid w:val="00B73B2C"/>
    <w:rsid w:val="00B74730"/>
    <w:rsid w:val="00B901AC"/>
    <w:rsid w:val="00B9033F"/>
    <w:rsid w:val="00BA2BC7"/>
    <w:rsid w:val="00BA6A8E"/>
    <w:rsid w:val="00BC4975"/>
    <w:rsid w:val="00BC74F5"/>
    <w:rsid w:val="00BD1691"/>
    <w:rsid w:val="00BD35A2"/>
    <w:rsid w:val="00BD698D"/>
    <w:rsid w:val="00C00321"/>
    <w:rsid w:val="00C036BE"/>
    <w:rsid w:val="00C169A9"/>
    <w:rsid w:val="00C20191"/>
    <w:rsid w:val="00C33241"/>
    <w:rsid w:val="00C42355"/>
    <w:rsid w:val="00C462E0"/>
    <w:rsid w:val="00C636DF"/>
    <w:rsid w:val="00C72E07"/>
    <w:rsid w:val="00C84BD4"/>
    <w:rsid w:val="00C87965"/>
    <w:rsid w:val="00C94459"/>
    <w:rsid w:val="00CA15E5"/>
    <w:rsid w:val="00CA455A"/>
    <w:rsid w:val="00CB0FF5"/>
    <w:rsid w:val="00CB2277"/>
    <w:rsid w:val="00CB4593"/>
    <w:rsid w:val="00CB5245"/>
    <w:rsid w:val="00CB6EDF"/>
    <w:rsid w:val="00CC08C6"/>
    <w:rsid w:val="00CC4BC0"/>
    <w:rsid w:val="00CC6129"/>
    <w:rsid w:val="00CD3C9A"/>
    <w:rsid w:val="00CD61DD"/>
    <w:rsid w:val="00CD7262"/>
    <w:rsid w:val="00CE4BD6"/>
    <w:rsid w:val="00CF137F"/>
    <w:rsid w:val="00D00B9F"/>
    <w:rsid w:val="00D014BE"/>
    <w:rsid w:val="00D141A6"/>
    <w:rsid w:val="00D2492D"/>
    <w:rsid w:val="00D27530"/>
    <w:rsid w:val="00D4438A"/>
    <w:rsid w:val="00D510E1"/>
    <w:rsid w:val="00D70DA8"/>
    <w:rsid w:val="00D76BF0"/>
    <w:rsid w:val="00D813A6"/>
    <w:rsid w:val="00D96ABB"/>
    <w:rsid w:val="00DC281B"/>
    <w:rsid w:val="00DD3B49"/>
    <w:rsid w:val="00DD4CB2"/>
    <w:rsid w:val="00DD6C3D"/>
    <w:rsid w:val="00DF2C9D"/>
    <w:rsid w:val="00DF6C1C"/>
    <w:rsid w:val="00E00A59"/>
    <w:rsid w:val="00E128B4"/>
    <w:rsid w:val="00E14FE2"/>
    <w:rsid w:val="00E15FBA"/>
    <w:rsid w:val="00E21254"/>
    <w:rsid w:val="00E27337"/>
    <w:rsid w:val="00E30A6F"/>
    <w:rsid w:val="00E31F84"/>
    <w:rsid w:val="00E35A52"/>
    <w:rsid w:val="00E407A6"/>
    <w:rsid w:val="00E466CB"/>
    <w:rsid w:val="00E50FB6"/>
    <w:rsid w:val="00E566E5"/>
    <w:rsid w:val="00E57375"/>
    <w:rsid w:val="00E57431"/>
    <w:rsid w:val="00E71F00"/>
    <w:rsid w:val="00E86F45"/>
    <w:rsid w:val="00EA5021"/>
    <w:rsid w:val="00EC3459"/>
    <w:rsid w:val="00EC671E"/>
    <w:rsid w:val="00ED1212"/>
    <w:rsid w:val="00ED1AFA"/>
    <w:rsid w:val="00ED6CD2"/>
    <w:rsid w:val="00EE24E6"/>
    <w:rsid w:val="00EE53F7"/>
    <w:rsid w:val="00EF54F1"/>
    <w:rsid w:val="00F11DC5"/>
    <w:rsid w:val="00F14D03"/>
    <w:rsid w:val="00F16CF7"/>
    <w:rsid w:val="00F33584"/>
    <w:rsid w:val="00F3561D"/>
    <w:rsid w:val="00F35FE7"/>
    <w:rsid w:val="00F37A2C"/>
    <w:rsid w:val="00F41930"/>
    <w:rsid w:val="00F4386F"/>
    <w:rsid w:val="00F45EBB"/>
    <w:rsid w:val="00F5012A"/>
    <w:rsid w:val="00F50979"/>
    <w:rsid w:val="00F66DEA"/>
    <w:rsid w:val="00F730A3"/>
    <w:rsid w:val="00F735A7"/>
    <w:rsid w:val="00F93742"/>
    <w:rsid w:val="00F937E2"/>
    <w:rsid w:val="00FA65AF"/>
    <w:rsid w:val="00FB3672"/>
    <w:rsid w:val="00FB79C3"/>
    <w:rsid w:val="00FC1A77"/>
    <w:rsid w:val="00FF20AD"/>
    <w:rsid w:val="00FF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EAEE"/>
  <w15:docId w15:val="{E537FD16-BD8E-4211-B01D-3B5E46F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E7"/>
  </w:style>
  <w:style w:type="paragraph" w:styleId="Balk4">
    <w:name w:val="heading 4"/>
    <w:basedOn w:val="Normal"/>
    <w:link w:val="Balk4Char"/>
    <w:uiPriority w:val="9"/>
    <w:qFormat/>
    <w:rsid w:val="00781CD3"/>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07E3"/>
    <w:pPr>
      <w:ind w:left="720"/>
      <w:contextualSpacing/>
    </w:pPr>
  </w:style>
  <w:style w:type="paragraph" w:styleId="stBilgi">
    <w:name w:val="header"/>
    <w:basedOn w:val="Normal"/>
    <w:link w:val="stBilgiChar"/>
    <w:uiPriority w:val="99"/>
    <w:unhideWhenUsed/>
    <w:rsid w:val="00CE4BD6"/>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E4BD6"/>
  </w:style>
  <w:style w:type="paragraph" w:styleId="AltBilgi">
    <w:name w:val="footer"/>
    <w:basedOn w:val="Normal"/>
    <w:link w:val="AltBilgiChar"/>
    <w:uiPriority w:val="99"/>
    <w:unhideWhenUsed/>
    <w:rsid w:val="00CE4BD6"/>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E4BD6"/>
  </w:style>
  <w:style w:type="paragraph" w:styleId="BalonMetni">
    <w:name w:val="Balloon Text"/>
    <w:basedOn w:val="Normal"/>
    <w:link w:val="BalonMetniChar"/>
    <w:uiPriority w:val="99"/>
    <w:semiHidden/>
    <w:unhideWhenUsed/>
    <w:rsid w:val="00105D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5D62"/>
    <w:rPr>
      <w:rFonts w:ascii="Tahoma" w:hAnsi="Tahoma" w:cs="Tahoma"/>
      <w:sz w:val="16"/>
      <w:szCs w:val="16"/>
    </w:rPr>
  </w:style>
  <w:style w:type="character" w:styleId="Gl">
    <w:name w:val="Strong"/>
    <w:basedOn w:val="VarsaylanParagrafYazTipi"/>
    <w:uiPriority w:val="22"/>
    <w:qFormat/>
    <w:rsid w:val="00105D62"/>
    <w:rPr>
      <w:b/>
      <w:bCs/>
    </w:rPr>
  </w:style>
  <w:style w:type="character" w:customStyle="1" w:styleId="apple-converted-space">
    <w:name w:val="apple-converted-space"/>
    <w:basedOn w:val="VarsaylanParagrafYazTipi"/>
    <w:rsid w:val="00F33584"/>
  </w:style>
  <w:style w:type="paragraph" w:styleId="DipnotMetni">
    <w:name w:val="footnote text"/>
    <w:basedOn w:val="Normal"/>
    <w:link w:val="DipnotMetniChar"/>
    <w:uiPriority w:val="99"/>
    <w:semiHidden/>
    <w:unhideWhenUsed/>
    <w:rsid w:val="00BD35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D35A2"/>
    <w:rPr>
      <w:sz w:val="20"/>
      <w:szCs w:val="20"/>
    </w:rPr>
  </w:style>
  <w:style w:type="character" w:styleId="DipnotBavurusu">
    <w:name w:val="footnote reference"/>
    <w:basedOn w:val="VarsaylanParagrafYazTipi"/>
    <w:uiPriority w:val="99"/>
    <w:semiHidden/>
    <w:unhideWhenUsed/>
    <w:rsid w:val="00BD35A2"/>
    <w:rPr>
      <w:vertAlign w:val="superscript"/>
    </w:rPr>
  </w:style>
  <w:style w:type="paragraph" w:styleId="NormalWeb">
    <w:name w:val="Normal (Web)"/>
    <w:basedOn w:val="Normal"/>
    <w:uiPriority w:val="99"/>
    <w:unhideWhenUsed/>
    <w:rsid w:val="00E466C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E466CB"/>
    <w:rPr>
      <w:i/>
      <w:iCs/>
    </w:rPr>
  </w:style>
  <w:style w:type="character" w:customStyle="1" w:styleId="spelle">
    <w:name w:val="spelle"/>
    <w:basedOn w:val="VarsaylanParagrafYazTipi"/>
    <w:rsid w:val="00E466CB"/>
  </w:style>
  <w:style w:type="paragraph" w:customStyle="1" w:styleId="selectionshareable">
    <w:name w:val="selectionshareable"/>
    <w:basedOn w:val="Normal"/>
    <w:rsid w:val="00865EE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rame">
    <w:name w:val="grame"/>
    <w:basedOn w:val="VarsaylanParagrafYazTipi"/>
    <w:rsid w:val="00CC4BC0"/>
  </w:style>
  <w:style w:type="character" w:styleId="Kpr">
    <w:name w:val="Hyperlink"/>
    <w:basedOn w:val="VarsaylanParagrafYazTipi"/>
    <w:uiPriority w:val="99"/>
    <w:unhideWhenUsed/>
    <w:rsid w:val="006849A8"/>
    <w:rPr>
      <w:color w:val="0000FF"/>
      <w:u w:val="single"/>
    </w:rPr>
  </w:style>
  <w:style w:type="character" w:customStyle="1" w:styleId="Balk4Char">
    <w:name w:val="Başlık 4 Char"/>
    <w:basedOn w:val="VarsaylanParagrafYazTipi"/>
    <w:link w:val="Balk4"/>
    <w:uiPriority w:val="9"/>
    <w:rsid w:val="00781CD3"/>
    <w:rPr>
      <w:rFonts w:ascii="Times New Roman" w:eastAsia="Times New Roman" w:hAnsi="Times New Roman" w:cs="Times New Roman"/>
      <w:b/>
      <w:bCs/>
      <w:sz w:val="24"/>
      <w:szCs w:val="24"/>
      <w:lang w:val="tr-TR" w:eastAsia="tr-TR"/>
    </w:rPr>
  </w:style>
  <w:style w:type="character" w:styleId="AklamaBavurusu">
    <w:name w:val="annotation reference"/>
    <w:basedOn w:val="VarsaylanParagrafYazTipi"/>
    <w:uiPriority w:val="99"/>
    <w:semiHidden/>
    <w:unhideWhenUsed/>
    <w:rsid w:val="001B3B98"/>
    <w:rPr>
      <w:sz w:val="16"/>
      <w:szCs w:val="16"/>
    </w:rPr>
  </w:style>
  <w:style w:type="paragraph" w:styleId="AklamaMetni">
    <w:name w:val="annotation text"/>
    <w:basedOn w:val="Normal"/>
    <w:link w:val="AklamaMetniChar"/>
    <w:uiPriority w:val="99"/>
    <w:semiHidden/>
    <w:unhideWhenUsed/>
    <w:rsid w:val="001B3B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3B98"/>
    <w:rPr>
      <w:sz w:val="20"/>
      <w:szCs w:val="20"/>
    </w:rPr>
  </w:style>
  <w:style w:type="paragraph" w:styleId="AklamaKonusu">
    <w:name w:val="annotation subject"/>
    <w:basedOn w:val="AklamaMetni"/>
    <w:next w:val="AklamaMetni"/>
    <w:link w:val="AklamaKonusuChar"/>
    <w:uiPriority w:val="99"/>
    <w:semiHidden/>
    <w:unhideWhenUsed/>
    <w:rsid w:val="001B3B98"/>
    <w:rPr>
      <w:b/>
      <w:bCs/>
    </w:rPr>
  </w:style>
  <w:style w:type="character" w:customStyle="1" w:styleId="AklamaKonusuChar">
    <w:name w:val="Açıklama Konusu Char"/>
    <w:basedOn w:val="AklamaMetniChar"/>
    <w:link w:val="AklamaKonusu"/>
    <w:uiPriority w:val="99"/>
    <w:semiHidden/>
    <w:rsid w:val="001B3B98"/>
    <w:rPr>
      <w:b/>
      <w:bCs/>
      <w:sz w:val="20"/>
      <w:szCs w:val="20"/>
    </w:rPr>
  </w:style>
  <w:style w:type="character" w:customStyle="1" w:styleId="zmlenmeyenBahsetme1">
    <w:name w:val="Çözümlenmeyen Bahsetme1"/>
    <w:basedOn w:val="VarsaylanParagrafYazTipi"/>
    <w:uiPriority w:val="99"/>
    <w:semiHidden/>
    <w:unhideWhenUsed/>
    <w:rsid w:val="00594FB9"/>
    <w:rPr>
      <w:color w:val="808080"/>
      <w:shd w:val="clear" w:color="auto" w:fill="E6E6E6"/>
    </w:rPr>
  </w:style>
  <w:style w:type="paragraph" w:customStyle="1" w:styleId="ortabalkbold">
    <w:name w:val="ortabalkbold"/>
    <w:basedOn w:val="Normal"/>
    <w:rsid w:val="00C3324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metin">
    <w:name w:val="metin"/>
    <w:basedOn w:val="Normal"/>
    <w:rsid w:val="00C3324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Default">
    <w:name w:val="Default"/>
    <w:rsid w:val="005F69B2"/>
    <w:pPr>
      <w:autoSpaceDE w:val="0"/>
      <w:autoSpaceDN w:val="0"/>
      <w:adjustRightInd w:val="0"/>
      <w:spacing w:after="0" w:line="240" w:lineRule="auto"/>
    </w:pPr>
    <w:rPr>
      <w:rFonts w:ascii="Univers for KPMG" w:hAnsi="Univers for KPMG" w:cs="Univers for KPMG"/>
      <w:color w:val="000000"/>
      <w:sz w:val="24"/>
      <w:szCs w:val="24"/>
      <w:lang w:val="tr-TR"/>
    </w:rPr>
  </w:style>
  <w:style w:type="character" w:customStyle="1" w:styleId="A3">
    <w:name w:val="A3"/>
    <w:uiPriority w:val="99"/>
    <w:rsid w:val="007B5E0F"/>
    <w:rPr>
      <w:rFonts w:cs="Univers for KPMG"/>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54408">
      <w:bodyDiv w:val="1"/>
      <w:marLeft w:val="0"/>
      <w:marRight w:val="0"/>
      <w:marTop w:val="0"/>
      <w:marBottom w:val="0"/>
      <w:divBdr>
        <w:top w:val="none" w:sz="0" w:space="0" w:color="auto"/>
        <w:left w:val="none" w:sz="0" w:space="0" w:color="auto"/>
        <w:bottom w:val="none" w:sz="0" w:space="0" w:color="auto"/>
        <w:right w:val="none" w:sz="0" w:space="0" w:color="auto"/>
      </w:divBdr>
    </w:div>
    <w:div w:id="785585478">
      <w:bodyDiv w:val="1"/>
      <w:marLeft w:val="0"/>
      <w:marRight w:val="0"/>
      <w:marTop w:val="0"/>
      <w:marBottom w:val="0"/>
      <w:divBdr>
        <w:top w:val="none" w:sz="0" w:space="0" w:color="auto"/>
        <w:left w:val="none" w:sz="0" w:space="0" w:color="auto"/>
        <w:bottom w:val="none" w:sz="0" w:space="0" w:color="auto"/>
        <w:right w:val="none" w:sz="0" w:space="0" w:color="auto"/>
      </w:divBdr>
    </w:div>
    <w:div w:id="1205174229">
      <w:bodyDiv w:val="1"/>
      <w:marLeft w:val="0"/>
      <w:marRight w:val="0"/>
      <w:marTop w:val="0"/>
      <w:marBottom w:val="0"/>
      <w:divBdr>
        <w:top w:val="none" w:sz="0" w:space="0" w:color="auto"/>
        <w:left w:val="none" w:sz="0" w:space="0" w:color="auto"/>
        <w:bottom w:val="none" w:sz="0" w:space="0" w:color="auto"/>
        <w:right w:val="none" w:sz="0" w:space="0" w:color="auto"/>
      </w:divBdr>
    </w:div>
    <w:div w:id="1356033983">
      <w:bodyDiv w:val="1"/>
      <w:marLeft w:val="0"/>
      <w:marRight w:val="0"/>
      <w:marTop w:val="0"/>
      <w:marBottom w:val="0"/>
      <w:divBdr>
        <w:top w:val="none" w:sz="0" w:space="0" w:color="auto"/>
        <w:left w:val="none" w:sz="0" w:space="0" w:color="auto"/>
        <w:bottom w:val="none" w:sz="0" w:space="0" w:color="auto"/>
        <w:right w:val="none" w:sz="0" w:space="0" w:color="auto"/>
      </w:divBdr>
    </w:div>
    <w:div w:id="1481966912">
      <w:bodyDiv w:val="1"/>
      <w:marLeft w:val="0"/>
      <w:marRight w:val="0"/>
      <w:marTop w:val="0"/>
      <w:marBottom w:val="0"/>
      <w:divBdr>
        <w:top w:val="none" w:sz="0" w:space="0" w:color="auto"/>
        <w:left w:val="none" w:sz="0" w:space="0" w:color="auto"/>
        <w:bottom w:val="none" w:sz="0" w:space="0" w:color="auto"/>
        <w:right w:val="none" w:sz="0" w:space="0" w:color="auto"/>
      </w:divBdr>
    </w:div>
    <w:div w:id="1563829188">
      <w:bodyDiv w:val="1"/>
      <w:marLeft w:val="0"/>
      <w:marRight w:val="0"/>
      <w:marTop w:val="0"/>
      <w:marBottom w:val="0"/>
      <w:divBdr>
        <w:top w:val="none" w:sz="0" w:space="0" w:color="auto"/>
        <w:left w:val="none" w:sz="0" w:space="0" w:color="auto"/>
        <w:bottom w:val="none" w:sz="0" w:space="0" w:color="auto"/>
        <w:right w:val="none" w:sz="0" w:space="0" w:color="auto"/>
      </w:divBdr>
    </w:div>
    <w:div w:id="2007245840">
      <w:bodyDiv w:val="1"/>
      <w:marLeft w:val="0"/>
      <w:marRight w:val="0"/>
      <w:marTop w:val="0"/>
      <w:marBottom w:val="0"/>
      <w:divBdr>
        <w:top w:val="none" w:sz="0" w:space="0" w:color="auto"/>
        <w:left w:val="none" w:sz="0" w:space="0" w:color="auto"/>
        <w:bottom w:val="none" w:sz="0" w:space="0" w:color="auto"/>
        <w:right w:val="none" w:sz="0" w:space="0" w:color="auto"/>
      </w:divBdr>
    </w:div>
    <w:div w:id="21064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880F-63D5-4A4E-A880-CAF8023B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2058</Characters>
  <Application>Microsoft Office Word</Application>
  <DocSecurity>0</DocSecurity>
  <Lines>55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LBF Partners</cp:lastModifiedBy>
  <cp:revision>3</cp:revision>
  <cp:lastPrinted>2018-04-06T06:14:00Z</cp:lastPrinted>
  <dcterms:created xsi:type="dcterms:W3CDTF">2020-03-04T07:02:00Z</dcterms:created>
  <dcterms:modified xsi:type="dcterms:W3CDTF">2020-03-04T07:03:00Z</dcterms:modified>
</cp:coreProperties>
</file>